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A2" w:rsidRDefault="001923A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1805 N. Carson St., #231</w:t>
      </w:r>
    </w:p>
    <w:p w:rsidR="001923A2" w:rsidRDefault="001923A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Carson City, NV  89701</w:t>
      </w:r>
    </w:p>
    <w:p w:rsidR="001923A2" w:rsidRDefault="001923A2">
      <w:r>
        <w:tab/>
      </w:r>
      <w:r>
        <w:tab/>
      </w:r>
      <w:r>
        <w:tab/>
      </w:r>
      <w:r>
        <w:tab/>
      </w:r>
      <w:r>
        <w:tab/>
      </w:r>
      <w:r>
        <w:tab/>
      </w:r>
      <w:r>
        <w:tab/>
        <w:t>February 16, 2018</w:t>
      </w:r>
    </w:p>
    <w:p w:rsidR="001923A2" w:rsidRDefault="001923A2"/>
    <w:p w:rsidR="001923A2" w:rsidRDefault="001923A2">
      <w:r>
        <w:t>Public Utilities Commission of Nevada</w:t>
      </w:r>
    </w:p>
    <w:p w:rsidR="001923A2" w:rsidRDefault="001923A2">
      <w:r>
        <w:t>1150 East William Street</w:t>
      </w:r>
    </w:p>
    <w:p w:rsidR="001923A2" w:rsidRDefault="001923A2">
      <w:r>
        <w:t>Carson City, NV  89701</w:t>
      </w:r>
    </w:p>
    <w:p w:rsidR="001923A2" w:rsidRDefault="001923A2"/>
    <w:p w:rsidR="001923A2" w:rsidRDefault="001923A2">
      <w:r>
        <w:t>Re:  Closing Comments—Docket 17-10001</w:t>
      </w:r>
    </w:p>
    <w:p w:rsidR="001923A2" w:rsidRDefault="001923A2"/>
    <w:p w:rsidR="001923A2" w:rsidRDefault="001923A2">
      <w:r>
        <w:t>To Whom It May Concern:</w:t>
      </w:r>
    </w:p>
    <w:p w:rsidR="001923A2" w:rsidRDefault="001923A2"/>
    <w:p w:rsidR="001923A2" w:rsidRDefault="001923A2">
      <w:pPr>
        <w:pStyle w:val="ListParagraph"/>
        <w:numPr>
          <w:ilvl w:val="0"/>
          <w:numId w:val="1"/>
        </w:numPr>
        <w:rPr>
          <w:b/>
          <w:bCs/>
          <w:u w:val="single"/>
        </w:rPr>
      </w:pPr>
      <w:r>
        <w:rPr>
          <w:b/>
          <w:bCs/>
          <w:u w:val="single"/>
        </w:rPr>
        <w:t>Major Omitted Element from the Workshops and Written Submissions</w:t>
      </w:r>
    </w:p>
    <w:p w:rsidR="001923A2" w:rsidRDefault="001923A2">
      <w:pPr>
        <w:rPr>
          <w:rFonts w:ascii="Times New Roman" w:hAnsi="Times New Roman" w:cs="Times New Roman"/>
        </w:rPr>
      </w:pPr>
      <w:r>
        <w:rPr>
          <w:rFonts w:ascii="Times New Roman" w:hAnsi="Times New Roman" w:cs="Times New Roman"/>
        </w:rPr>
        <w:tab/>
      </w:r>
      <w:r>
        <w:t xml:space="preserve">It is more than disappointing that the key issue needing resolution for Nevadans has been </w:t>
      </w:r>
      <w:r>
        <w:tab/>
        <w:t xml:space="preserve">ignored by each and every one of the in-state and out-of-state consultants, legal counsel and </w:t>
      </w:r>
      <w:r>
        <w:tab/>
        <w:t xml:space="preserve">sales entities interested in blithely implementing the so-called energy choice initiative for their </w:t>
      </w:r>
      <w:r>
        <w:tab/>
        <w:t>pecuniary benefit by pointing to other states’ experiences as their ‘proof’ of lower costs</w:t>
      </w:r>
      <w:r>
        <w:rPr>
          <w:rFonts w:ascii="Times New Roman" w:hAnsi="Times New Roman" w:cs="Times New Roman"/>
        </w:rPr>
        <w:t>.</w:t>
      </w:r>
    </w:p>
    <w:p w:rsidR="001923A2" w:rsidRDefault="001923A2">
      <w:r>
        <w:rPr>
          <w:rFonts w:ascii="Times New Roman" w:hAnsi="Times New Roman" w:cs="Times New Roman"/>
        </w:rPr>
        <w:tab/>
      </w:r>
      <w:r>
        <w:t xml:space="preserve">The PUCN’s workshop process took on this issue specifically, unlike the Governor’s Committee </w:t>
      </w:r>
      <w:r>
        <w:tab/>
        <w:t xml:space="preserve">on Energy Choice and its technical working groups, all of whom lacked staff who could do the </w:t>
      </w:r>
      <w:r>
        <w:tab/>
        <w:t>necessary research.</w:t>
      </w:r>
    </w:p>
    <w:p w:rsidR="001923A2" w:rsidRDefault="001923A2">
      <w:r>
        <w:tab/>
        <w:t xml:space="preserve">Nevada-specific costs should be readily proffered and easy to calculate by those who have been </w:t>
      </w:r>
      <w:r>
        <w:tab/>
        <w:t>involved with similar initiatives over the last 20 years in other states.</w:t>
      </w:r>
    </w:p>
    <w:p w:rsidR="001923A2" w:rsidRDefault="001923A2">
      <w:r>
        <w:tab/>
        <w:t xml:space="preserve">Nowhere in the workshops or the written submissions has this information been </w:t>
      </w:r>
      <w:r>
        <w:rPr>
          <w:rFonts w:ascii="Times New Roman" w:hAnsi="Times New Roman" w:cs="Times New Roman"/>
        </w:rPr>
        <w:tab/>
      </w:r>
      <w:r>
        <w:t xml:space="preserve">comprehensively provided by anyone other than the incumbent electric provider for 90% of </w:t>
      </w:r>
      <w:r>
        <w:rPr>
          <w:rFonts w:ascii="Times New Roman" w:hAnsi="Times New Roman" w:cs="Times New Roman"/>
        </w:rPr>
        <w:tab/>
      </w:r>
      <w:r>
        <w:t xml:space="preserve">Nevadans.  For some to dispute </w:t>
      </w:r>
      <w:r>
        <w:tab/>
        <w:t xml:space="preserve">the Nevada-specific numbers from NV Energy without offering </w:t>
      </w:r>
      <w:r>
        <w:rPr>
          <w:rFonts w:ascii="Times New Roman" w:hAnsi="Times New Roman" w:cs="Times New Roman"/>
        </w:rPr>
        <w:tab/>
      </w:r>
      <w:r>
        <w:t xml:space="preserve">any of their own and the backup to support them as an alternative is disingenuous and doesn’t </w:t>
      </w:r>
      <w:r>
        <w:rPr>
          <w:rFonts w:ascii="Times New Roman" w:hAnsi="Times New Roman" w:cs="Times New Roman"/>
        </w:rPr>
        <w:tab/>
      </w:r>
      <w:r>
        <w:t xml:space="preserve">help Nevada figure out how to implement this initiative </w:t>
      </w:r>
      <w:r>
        <w:rPr>
          <w:rFonts w:ascii="Times New Roman" w:hAnsi="Times New Roman" w:cs="Times New Roman"/>
        </w:rPr>
        <w:tab/>
      </w:r>
      <w:r>
        <w:t>should it pass in November, 2018.</w:t>
      </w:r>
    </w:p>
    <w:p w:rsidR="001923A2" w:rsidRDefault="001923A2">
      <w:r>
        <w:rPr>
          <w:rFonts w:ascii="Times New Roman" w:hAnsi="Times New Roman" w:cs="Times New Roman"/>
        </w:rPr>
        <w:tab/>
      </w:r>
      <w:r>
        <w:t xml:space="preserve">The continuing dilemma of absent cost information from those with the most to gain from </w:t>
      </w:r>
      <w:r>
        <w:rPr>
          <w:rFonts w:ascii="Times New Roman" w:hAnsi="Times New Roman" w:cs="Times New Roman"/>
        </w:rPr>
        <w:tab/>
      </w:r>
      <w:r>
        <w:t xml:space="preserve">energy choice represents a reprise of the net metering issue deliberated by the PUCN in 2015 </w:t>
      </w:r>
      <w:r>
        <w:rPr>
          <w:rFonts w:ascii="Times New Roman" w:hAnsi="Times New Roman" w:cs="Times New Roman"/>
        </w:rPr>
        <w:tab/>
      </w:r>
      <w:r>
        <w:t xml:space="preserve">and 2016.  Those proponents also offered no tangible cost information as evidence to dispute </w:t>
      </w:r>
      <w:r>
        <w:rPr>
          <w:rFonts w:ascii="Times New Roman" w:hAnsi="Times New Roman" w:cs="Times New Roman"/>
        </w:rPr>
        <w:tab/>
      </w:r>
      <w:r>
        <w:t xml:space="preserve">the subsidies required of non-participating ratepayers in order to reimburse participants at a </w:t>
      </w:r>
      <w:r>
        <w:rPr>
          <w:rFonts w:ascii="Times New Roman" w:hAnsi="Times New Roman" w:cs="Times New Roman"/>
        </w:rPr>
        <w:tab/>
      </w:r>
      <w:r>
        <w:t xml:space="preserve">retail, not a wholesale rate, but claimed the numbers coming from NV Energy were inaccurate, </w:t>
      </w:r>
      <w:r>
        <w:rPr>
          <w:rFonts w:ascii="Times New Roman" w:hAnsi="Times New Roman" w:cs="Times New Roman"/>
        </w:rPr>
        <w:tab/>
      </w:r>
      <w:r>
        <w:t xml:space="preserve">despite </w:t>
      </w:r>
      <w:r>
        <w:rPr>
          <w:rFonts w:ascii="Times New Roman" w:hAnsi="Times New Roman" w:cs="Times New Roman"/>
        </w:rPr>
        <w:tab/>
      </w:r>
      <w:r>
        <w:t>multiple opportunities to make those alternative cost submissions.</w:t>
      </w:r>
    </w:p>
    <w:p w:rsidR="001923A2" w:rsidRDefault="001923A2">
      <w:pPr>
        <w:rPr>
          <w:rFonts w:ascii="Times New Roman" w:hAnsi="Times New Roman" w:cs="Times New Roman"/>
        </w:rPr>
      </w:pPr>
      <w:r>
        <w:rPr>
          <w:rFonts w:ascii="Times New Roman" w:hAnsi="Times New Roman" w:cs="Times New Roman"/>
        </w:rPr>
        <w:tab/>
      </w:r>
      <w:r>
        <w:t xml:space="preserve">This initiative’s implementation </w:t>
      </w:r>
      <w:r>
        <w:rPr>
          <w:b/>
          <w:bCs/>
        </w:rPr>
        <w:t>and</w:t>
      </w:r>
      <w:r>
        <w:t xml:space="preserve"> severance costs are significant, at roughly $7.5 billion, </w:t>
      </w:r>
      <w:r>
        <w:rPr>
          <w:rFonts w:ascii="Times New Roman" w:hAnsi="Times New Roman" w:cs="Times New Roman"/>
        </w:rPr>
        <w:tab/>
      </w:r>
      <w:r>
        <w:rPr>
          <w:u w:val="single"/>
        </w:rPr>
        <w:t>excluding</w:t>
      </w:r>
      <w:r>
        <w:t xml:space="preserve"> the carrying costs (i.e., interest) for reimbursement by state ratepayers on the easy-</w:t>
      </w:r>
      <w:r>
        <w:tab/>
        <w:t xml:space="preserve">payment plan over a suggested 10-year period.  It is prudent to use the higher, not the lower $5 </w:t>
      </w:r>
      <w:r>
        <w:rPr>
          <w:rFonts w:ascii="Times New Roman" w:hAnsi="Times New Roman" w:cs="Times New Roman"/>
        </w:rPr>
        <w:tab/>
      </w:r>
      <w:r>
        <w:t xml:space="preserve">billion number to cover the inevitable contingencies and the prospect that the forced sale of </w:t>
      </w:r>
      <w:r>
        <w:rPr>
          <w:rFonts w:ascii="Times New Roman" w:hAnsi="Times New Roman" w:cs="Times New Roman"/>
        </w:rPr>
        <w:tab/>
      </w:r>
      <w:r>
        <w:t>purchased power agreements (PPAs) and generation assets will be at fire-sale/bargain-</w:t>
      </w:r>
      <w:r>
        <w:rPr>
          <w:rFonts w:ascii="Times New Roman" w:hAnsi="Times New Roman" w:cs="Times New Roman"/>
        </w:rPr>
        <w:tab/>
      </w:r>
      <w:r>
        <w:t>basement prices, not fair market value</w:t>
      </w:r>
      <w:r>
        <w:rPr>
          <w:rFonts w:ascii="Times New Roman" w:hAnsi="Times New Roman" w:cs="Times New Roman"/>
        </w:rPr>
        <w:t>.</w:t>
      </w:r>
    </w:p>
    <w:p w:rsidR="001923A2" w:rsidRDefault="001923A2">
      <w:pPr>
        <w:rPr>
          <w:rFonts w:ascii="Times New Roman" w:hAnsi="Times New Roman" w:cs="Times New Roman"/>
        </w:rPr>
      </w:pPr>
      <w:r>
        <w:rPr>
          <w:rFonts w:ascii="Times New Roman" w:hAnsi="Times New Roman" w:cs="Times New Roman"/>
        </w:rPr>
        <w:tab/>
      </w:r>
      <w:r>
        <w:t xml:space="preserve">Spreading only the $7.5 billion (excluding unknown interest costs) over 1.3 million ratepayers </w:t>
      </w:r>
      <w:r>
        <w:rPr>
          <w:rFonts w:ascii="Times New Roman" w:hAnsi="Times New Roman" w:cs="Times New Roman"/>
        </w:rPr>
        <w:tab/>
      </w:r>
      <w:r>
        <w:t>means that each and every former NV Energy customer would shoulder $5,384.62 of</w:t>
      </w:r>
      <w:r>
        <w:rPr>
          <w:rFonts w:ascii="Times New Roman" w:hAnsi="Times New Roman" w:cs="Times New Roman"/>
        </w:rPr>
        <w:tab/>
      </w:r>
      <w:r>
        <w:t xml:space="preserve">new </w:t>
      </w:r>
      <w:r>
        <w:rPr>
          <w:rFonts w:ascii="Times New Roman" w:hAnsi="Times New Roman" w:cs="Times New Roman"/>
        </w:rPr>
        <w:tab/>
      </w:r>
      <w:r>
        <w:t>expense on top of their monthly electricity usage.</w:t>
      </w:r>
    </w:p>
    <w:p w:rsidR="001923A2" w:rsidRDefault="001923A2">
      <w:r>
        <w:rPr>
          <w:rFonts w:ascii="Times New Roman" w:hAnsi="Times New Roman" w:cs="Times New Roman"/>
        </w:rPr>
        <w:tab/>
      </w:r>
      <w:r>
        <w:t xml:space="preserve">Given the breakout of kilowatt hour charges elements offered at the PUCN’s workshops, only </w:t>
      </w:r>
      <w:r>
        <w:rPr>
          <w:rFonts w:ascii="Times New Roman" w:hAnsi="Times New Roman" w:cs="Times New Roman"/>
        </w:rPr>
        <w:tab/>
      </w:r>
      <w:r>
        <w:t xml:space="preserve">32.6% of NV Energy’s current Southern Division rate is attributable to generation.  In the </w:t>
      </w:r>
      <w:r>
        <w:rPr>
          <w:rFonts w:ascii="Times New Roman" w:hAnsi="Times New Roman" w:cs="Times New Roman"/>
        </w:rPr>
        <w:tab/>
      </w:r>
      <w:r>
        <w:t xml:space="preserve">Northern Division, only 27.5% of the kilowatt hour charges are attributable to generation, </w:t>
      </w:r>
      <w:r>
        <w:rPr>
          <w:rFonts w:ascii="Times New Roman" w:hAnsi="Times New Roman" w:cs="Times New Roman"/>
        </w:rPr>
        <w:tab/>
      </w:r>
      <w:r>
        <w:t>leaving a small fraction of the current rates for new entrants to improve upon.</w:t>
      </w:r>
    </w:p>
    <w:p w:rsidR="001923A2" w:rsidRDefault="001923A2">
      <w:pPr>
        <w:pStyle w:val="ListParagraph"/>
        <w:numPr>
          <w:ilvl w:val="0"/>
          <w:numId w:val="1"/>
        </w:numPr>
        <w:rPr>
          <w:b/>
          <w:bCs/>
          <w:u w:val="single"/>
        </w:rPr>
      </w:pPr>
      <w:r>
        <w:rPr>
          <w:b/>
          <w:bCs/>
          <w:u w:val="single"/>
        </w:rPr>
        <w:t>Impartial, Comparative Costs for Electric Service by State</w:t>
      </w:r>
    </w:p>
    <w:p w:rsidR="001923A2" w:rsidRDefault="001923A2">
      <w:pPr>
        <w:pStyle w:val="ListParagraph"/>
        <w:rPr>
          <w:rFonts w:ascii="Times New Roman" w:hAnsi="Times New Roman" w:cs="Times New Roman"/>
          <w:b/>
          <w:bCs/>
        </w:rPr>
      </w:pPr>
    </w:p>
    <w:p w:rsidR="001923A2" w:rsidRDefault="001923A2">
      <w:pPr>
        <w:pStyle w:val="ListParagraph"/>
        <w:rPr>
          <w:rFonts w:ascii="Times New Roman" w:hAnsi="Times New Roman" w:cs="Times New Roman"/>
        </w:rPr>
      </w:pPr>
      <w:r>
        <w:t>The litmus test for the competitiveness of current electricity costs can be extrapolated from impartial statistics available through the U.S. Department of Energy’s Energy Information Administration (Attachment A, Table 5.6.A</w:t>
      </w:r>
      <w:r>
        <w:rPr>
          <w:rFonts w:ascii="Times New Roman" w:hAnsi="Times New Roman" w:cs="Times New Roman"/>
        </w:rPr>
        <w:t>.</w:t>
      </w:r>
      <w:r>
        <w:t xml:space="preserve"> Average Price of Electricity to Ultimate Customers by End-User Sector)</w:t>
      </w:r>
      <w:r>
        <w:rPr>
          <w:rFonts w:ascii="Times New Roman" w:hAnsi="Times New Roman" w:cs="Times New Roman"/>
        </w:rPr>
        <w:t>,</w:t>
      </w:r>
      <w:r>
        <w:t xml:space="preserve"> not vague statements about other states made by those entities and their agents who would benefit from new Nevada business revenue</w:t>
      </w:r>
      <w:r>
        <w:rPr>
          <w:rFonts w:ascii="Times New Roman" w:hAnsi="Times New Roman" w:cs="Times New Roman"/>
        </w:rPr>
        <w:t>.</w:t>
      </w:r>
    </w:p>
    <w:p w:rsidR="001923A2" w:rsidRDefault="001923A2">
      <w:pPr>
        <w:pStyle w:val="ListParagraph"/>
        <w:rPr>
          <w:rFonts w:ascii="Times New Roman" w:hAnsi="Times New Roman" w:cs="Times New Roman"/>
        </w:rPr>
      </w:pPr>
    </w:p>
    <w:p w:rsidR="001923A2" w:rsidRDefault="001923A2">
      <w:pPr>
        <w:pStyle w:val="ListParagraph"/>
        <w:rPr>
          <w:rFonts w:ascii="Times New Roman" w:hAnsi="Times New Roman" w:cs="Times New Roman"/>
        </w:rPr>
      </w:pPr>
      <w:r>
        <w:t>The most current statistics (November 2017) reflect consistent methodology across all states, territories, plus the District of Columbia, and demonstrate that the ‘All Sectors’ kilowatt hour rate in states that have been repeatedly cited as shining examples of competition are anywhere from 1.8% higher in Texas to 114.7% higher in Connecticut.  Again, it is worth observing that some of these states have been working on the choice proposition for 20 years and their rates are still higher, substantially  so in most cases, than the current Nevada rates.  This reality begs the question:   How much lower can Nevada’s electric rates go in a competitive marketplace when costs can’t be waived away with a magic wand by a legislative body, regulators or companies who must make a profit and cover their operating expenses after folding in new layers of expense?</w:t>
      </w:r>
    </w:p>
    <w:p w:rsidR="001923A2" w:rsidRDefault="001923A2">
      <w:pPr>
        <w:pStyle w:val="ListParagraph"/>
        <w:rPr>
          <w:rFonts w:ascii="Times New Roman" w:hAnsi="Times New Roman" w:cs="Times New Roman"/>
        </w:rPr>
      </w:pPr>
    </w:p>
    <w:p w:rsidR="001923A2" w:rsidRDefault="001923A2">
      <w:pPr>
        <w:pStyle w:val="ListParagraph"/>
        <w:rPr>
          <w:rFonts w:ascii="Times New Roman" w:hAnsi="Times New Roman" w:cs="Times New Roman"/>
        </w:rPr>
      </w:pPr>
      <w:r>
        <w:t xml:space="preserve">If Nevada is creating a constitutional right, not just in choice and competition, but an “entitlement to lower electricity costs” (See Section 3 of the actual initiative language), then lowering costs seems an impossible feat given at least $7.5 billion of new expenses for Nevadans. </w:t>
      </w:r>
    </w:p>
    <w:p w:rsidR="001923A2" w:rsidRDefault="001923A2">
      <w:pPr>
        <w:pStyle w:val="ListParagraph"/>
        <w:rPr>
          <w:rFonts w:ascii="Times New Roman" w:hAnsi="Times New Roman" w:cs="Times New Roman"/>
        </w:rPr>
      </w:pPr>
    </w:p>
    <w:p w:rsidR="001923A2" w:rsidRDefault="001923A2">
      <w:pPr>
        <w:pStyle w:val="ListParagraph"/>
        <w:rPr>
          <w:rFonts w:ascii="Times New Roman" w:hAnsi="Times New Roman" w:cs="Times New Roman"/>
        </w:rPr>
      </w:pPr>
    </w:p>
    <w:p w:rsidR="001923A2" w:rsidRDefault="001923A2">
      <w:pPr>
        <w:pStyle w:val="ListParagraph"/>
        <w:numPr>
          <w:ilvl w:val="0"/>
          <w:numId w:val="1"/>
        </w:numPr>
        <w:rPr>
          <w:b/>
          <w:bCs/>
          <w:u w:val="single"/>
        </w:rPr>
      </w:pPr>
      <w:r>
        <w:rPr>
          <w:b/>
          <w:bCs/>
          <w:u w:val="single"/>
        </w:rPr>
        <w:t>Constitutional Rights for All Nevadans. . .Not Possible</w:t>
      </w:r>
    </w:p>
    <w:p w:rsidR="001923A2" w:rsidRDefault="001923A2">
      <w:pPr>
        <w:pStyle w:val="ListParagraph"/>
        <w:rPr>
          <w:rFonts w:ascii="Times New Roman" w:hAnsi="Times New Roman" w:cs="Times New Roman"/>
        </w:rPr>
      </w:pPr>
    </w:p>
    <w:p w:rsidR="001923A2" w:rsidRDefault="001923A2">
      <w:pPr>
        <w:pStyle w:val="ListParagraph"/>
      </w:pPr>
      <w:r>
        <w:t>While the initiative’s legal language creates an express right for each and every Nevadan of electric choice and lower costs, there are four groups of Nevadans who will not necessarily have the benefit of these rights:</w:t>
      </w:r>
    </w:p>
    <w:p w:rsidR="001923A2" w:rsidRDefault="001923A2">
      <w:pPr>
        <w:pStyle w:val="ListParagraph"/>
      </w:pPr>
      <w:r>
        <w:tab/>
      </w:r>
    </w:p>
    <w:p w:rsidR="001923A2" w:rsidRDefault="001923A2">
      <w:pPr>
        <w:pStyle w:val="ListParagraph"/>
        <w:numPr>
          <w:ilvl w:val="0"/>
          <w:numId w:val="2"/>
        </w:numPr>
        <w:rPr>
          <w:rFonts w:ascii="Times New Roman" w:hAnsi="Times New Roman" w:cs="Times New Roman"/>
        </w:rPr>
      </w:pPr>
      <w:r>
        <w:t>Residents of 143 mobile home parks statewide where the landlord chooses and controls the electricity supplier and re-bills the tenants, i.e., master-metered parks;</w:t>
      </w:r>
    </w:p>
    <w:p w:rsidR="001923A2" w:rsidRDefault="001923A2">
      <w:pPr>
        <w:pStyle w:val="ListParagraph"/>
        <w:numPr>
          <w:ilvl w:val="0"/>
          <w:numId w:val="2"/>
        </w:numPr>
        <w:rPr>
          <w:rFonts w:ascii="Times New Roman" w:hAnsi="Times New Roman" w:cs="Times New Roman"/>
        </w:rPr>
      </w:pPr>
      <w:r>
        <w:t>Roughly 7,000 current NV Energy customers who pay a surcharge to retain analog meters because of unresolved health, safety and privacy concerns;</w:t>
      </w:r>
    </w:p>
    <w:p w:rsidR="001923A2" w:rsidRDefault="001923A2">
      <w:pPr>
        <w:pStyle w:val="ListParagraph"/>
        <w:numPr>
          <w:ilvl w:val="0"/>
          <w:numId w:val="2"/>
        </w:numPr>
        <w:rPr>
          <w:rFonts w:ascii="Times New Roman" w:hAnsi="Times New Roman" w:cs="Times New Roman"/>
        </w:rPr>
      </w:pPr>
      <w:r>
        <w:t>75,000 municipal and rural electric cooperative customers where prospective reduction of the relatively small customer base (if competitors are willing to service the area at all) would place these entities in economic peril and likely raise rates for those who remain; and,</w:t>
      </w:r>
    </w:p>
    <w:p w:rsidR="001923A2" w:rsidRDefault="001923A2">
      <w:pPr>
        <w:pStyle w:val="ListParagraph"/>
        <w:numPr>
          <w:ilvl w:val="0"/>
          <w:numId w:val="2"/>
        </w:numPr>
        <w:rPr>
          <w:rFonts w:ascii="Times New Roman" w:hAnsi="Times New Roman" w:cs="Times New Roman"/>
        </w:rPr>
      </w:pPr>
      <w:r>
        <w:t>An unknown number of multi-family dwellings, typically older buildings, where there is one electric meter for all the units (a master-meter situation) and re-wiring and re-metering to each dwelling unit would be a costly, new undertaking ultimately borne by the tenants paying rent</w:t>
      </w:r>
      <w:r>
        <w:rPr>
          <w:rFonts w:ascii="Times New Roman" w:hAnsi="Times New Roman" w:cs="Times New Roman"/>
        </w:rPr>
        <w:t>.</w:t>
      </w:r>
      <w:r>
        <w:rPr>
          <w:rFonts w:ascii="Times New Roman" w:hAnsi="Times New Roman" w:cs="Times New Roman"/>
        </w:rPr>
        <w:tab/>
      </w:r>
    </w:p>
    <w:p w:rsidR="001923A2" w:rsidRDefault="001923A2">
      <w:pPr>
        <w:pStyle w:val="ListParagraph"/>
        <w:rPr>
          <w:rFonts w:ascii="Times New Roman" w:hAnsi="Times New Roman" w:cs="Times New Roman"/>
        </w:rPr>
      </w:pPr>
    </w:p>
    <w:p w:rsidR="001923A2" w:rsidRDefault="001923A2">
      <w:pPr>
        <w:pStyle w:val="ListParagraph"/>
      </w:pPr>
      <w:r>
        <w:t xml:space="preserve">How do those Nevadans waive their constitutional rights, unlike the handful of other U.S. jurisdictions that universally created their versions of electricity competition exclusively via legislation?  Will each person be forced to sign a waiver form as a condition of remaining a resident/customer or receiving electric service at all?  That is one solution, although waiving one’s constitutional rights to choice and lower cost without a viable alternative (Consider the </w:t>
      </w:r>
      <w:r>
        <w:rPr>
          <w:i/>
          <w:iCs/>
        </w:rPr>
        <w:t>Miranda</w:t>
      </w:r>
      <w:r>
        <w:t xml:space="preserve"> warning in criminal arrests where the option is to say nothing vs. incriminating one’s self before consulting with an attorney.) poses significant legal problems our court system could be litigating for some time and at considerable new expense to Nevada ratepayers and taxpayers.</w:t>
      </w:r>
    </w:p>
    <w:p w:rsidR="001923A2" w:rsidRDefault="001923A2">
      <w:pPr>
        <w:pStyle w:val="ListParagraph"/>
      </w:pPr>
      <w:r>
        <w:t xml:space="preserve"> </w:t>
      </w:r>
    </w:p>
    <w:p w:rsidR="001923A2" w:rsidRDefault="001923A2">
      <w:pPr>
        <w:pStyle w:val="ListParagraph"/>
        <w:numPr>
          <w:ilvl w:val="0"/>
          <w:numId w:val="1"/>
        </w:numPr>
        <w:rPr>
          <w:b/>
          <w:bCs/>
          <w:u w:val="single"/>
        </w:rPr>
      </w:pPr>
      <w:r>
        <w:rPr>
          <w:b/>
          <w:bCs/>
          <w:u w:val="single"/>
        </w:rPr>
        <w:t>Customers’ Willingness to Pay Extra for Renewable Electricity and/or Competitive Electricity Providers</w:t>
      </w:r>
    </w:p>
    <w:p w:rsidR="001923A2" w:rsidRDefault="001923A2">
      <w:r>
        <w:rPr>
          <w:rFonts w:ascii="Times New Roman" w:hAnsi="Times New Roman" w:cs="Times New Roman"/>
        </w:rPr>
        <w:tab/>
      </w:r>
      <w:r>
        <w:t xml:space="preserve">In poll after poll, a majority of electricity customers are in favor of renewable energy, until they </w:t>
      </w:r>
      <w:r>
        <w:rPr>
          <w:rFonts w:ascii="Times New Roman" w:hAnsi="Times New Roman" w:cs="Times New Roman"/>
        </w:rPr>
        <w:tab/>
      </w:r>
      <w:r>
        <w:t xml:space="preserve">learn that there is a higher cost.  A miniscule number of customers have been voluntarily willing </w:t>
      </w:r>
      <w:r>
        <w:rPr>
          <w:rFonts w:ascii="Times New Roman" w:hAnsi="Times New Roman" w:cs="Times New Roman"/>
        </w:rPr>
        <w:tab/>
      </w:r>
      <w:r>
        <w:t xml:space="preserve">to pay a monthly surcharge for renewable energy at virtually any electric utility provider around </w:t>
      </w:r>
      <w:r>
        <w:rPr>
          <w:rFonts w:ascii="Times New Roman" w:hAnsi="Times New Roman" w:cs="Times New Roman"/>
        </w:rPr>
        <w:tab/>
      </w:r>
      <w:r>
        <w:t>the United States one chooses to reference.</w:t>
      </w:r>
    </w:p>
    <w:p w:rsidR="001923A2" w:rsidRDefault="001923A2">
      <w:r>
        <w:tab/>
        <w:t xml:space="preserve">In 2016, Washington state’s general election ballot contained Initiative 732 (Attachment B).  It </w:t>
      </w:r>
      <w:r>
        <w:tab/>
        <w:t xml:space="preserve">proposed imposing a carbon emission tax of $15 per metric ton which would ultimately rise to </w:t>
      </w:r>
      <w:r>
        <w:tab/>
        <w:t xml:space="preserve">$100 per metric ton.  Even though other provisions of the initiative claimed to lower other taxes </w:t>
      </w:r>
      <w:r>
        <w:tab/>
        <w:t xml:space="preserve">as an initial offset, the reality of an eventual 667% carbon emission tax increase met with a </w:t>
      </w:r>
      <w:r>
        <w:rPr>
          <w:rFonts w:ascii="Times New Roman" w:hAnsi="Times New Roman" w:cs="Times New Roman"/>
        </w:rPr>
        <w:tab/>
      </w:r>
      <w:r>
        <w:t xml:space="preserve">resistant electorate.  Despite Washington state’s much more environmentally-focused public </w:t>
      </w:r>
      <w:r>
        <w:rPr>
          <w:rFonts w:ascii="Times New Roman" w:hAnsi="Times New Roman" w:cs="Times New Roman"/>
        </w:rPr>
        <w:tab/>
      </w:r>
      <w:r>
        <w:t>policy choices and electorate vs. Nevada’s, this initiative was defeated by 59% of the voters.</w:t>
      </w:r>
    </w:p>
    <w:p w:rsidR="001923A2" w:rsidRDefault="001923A2">
      <w:pPr>
        <w:rPr>
          <w:rFonts w:ascii="Times New Roman" w:hAnsi="Times New Roman" w:cs="Times New Roman"/>
        </w:rPr>
      </w:pPr>
      <w:r>
        <w:tab/>
        <w:t xml:space="preserve">When voters and electric ratepayers are given a clear choice of paying more or paying less, they </w:t>
      </w:r>
      <w:r>
        <w:tab/>
        <w:t xml:space="preserve">choose the latter, not the former option, despite claims of wanting renewable energy, even in </w:t>
      </w:r>
      <w:r>
        <w:tab/>
        <w:t>low-cost, hydroelectric-rich Washington state</w:t>
      </w:r>
      <w:r>
        <w:rPr>
          <w:rFonts w:ascii="Times New Roman" w:hAnsi="Times New Roman" w:cs="Times New Roman"/>
        </w:rPr>
        <w:t>.</w:t>
      </w:r>
    </w:p>
    <w:p w:rsidR="001923A2" w:rsidRDefault="001923A2">
      <w:pPr>
        <w:pStyle w:val="ListParagraph"/>
        <w:numPr>
          <w:ilvl w:val="0"/>
          <w:numId w:val="1"/>
        </w:numPr>
        <w:rPr>
          <w:b/>
          <w:bCs/>
          <w:u w:val="single"/>
        </w:rPr>
      </w:pPr>
      <w:r>
        <w:t xml:space="preserve"> </w:t>
      </w:r>
      <w:r>
        <w:rPr>
          <w:b/>
          <w:bCs/>
          <w:u w:val="single"/>
        </w:rPr>
        <w:t>Rescuing California’s Wholesale Electric Market (CAISO) is not Nevadans’ Responsibility</w:t>
      </w:r>
    </w:p>
    <w:p w:rsidR="001923A2" w:rsidRDefault="001923A2">
      <w:r>
        <w:rPr>
          <w:rFonts w:ascii="Times New Roman" w:hAnsi="Times New Roman" w:cs="Times New Roman"/>
        </w:rPr>
        <w:tab/>
      </w:r>
      <w:r>
        <w:t xml:space="preserve">California’s inability to connect out-of-state electricity grids into its system (Pacific Power is the </w:t>
      </w:r>
      <w:r>
        <w:rPr>
          <w:rFonts w:ascii="Times New Roman" w:hAnsi="Times New Roman" w:cs="Times New Roman"/>
        </w:rPr>
        <w:tab/>
      </w:r>
      <w:r>
        <w:t xml:space="preserve">obvious example.) because it refuses to cede any control over its internal grid operations to </w:t>
      </w:r>
      <w:r>
        <w:tab/>
        <w:t>non-Californians has spanned several legislative sessions.</w:t>
      </w:r>
    </w:p>
    <w:p w:rsidR="001923A2" w:rsidRDefault="001923A2">
      <w:pPr>
        <w:rPr>
          <w:rFonts w:ascii="Times New Roman" w:hAnsi="Times New Roman" w:cs="Times New Roman"/>
        </w:rPr>
      </w:pPr>
      <w:r>
        <w:rPr>
          <w:rFonts w:ascii="Times New Roman" w:hAnsi="Times New Roman" w:cs="Times New Roman"/>
        </w:rPr>
        <w:tab/>
      </w:r>
      <w:r>
        <w:t>Effectively, any piece of California’s infrastructure (highways, levees, dams, bridges</w:t>
      </w:r>
      <w:r>
        <w:rPr>
          <w:rFonts w:ascii="Times New Roman" w:hAnsi="Times New Roman" w:cs="Times New Roman"/>
        </w:rPr>
        <w:t>,</w:t>
      </w:r>
      <w:r>
        <w:t xml:space="preserve"> electricity, </w:t>
      </w:r>
      <w:r>
        <w:rPr>
          <w:rFonts w:ascii="Times New Roman" w:hAnsi="Times New Roman" w:cs="Times New Roman"/>
        </w:rPr>
        <w:tab/>
      </w:r>
      <w:r>
        <w:t xml:space="preserve">natural </w:t>
      </w:r>
      <w:r>
        <w:tab/>
        <w:t xml:space="preserve">gas lines and storage, water supply and distribution systems, sewer systems, et al) one </w:t>
      </w:r>
      <w:r>
        <w:rPr>
          <w:rFonts w:ascii="Times New Roman" w:hAnsi="Times New Roman" w:cs="Times New Roman"/>
        </w:rPr>
        <w:tab/>
      </w:r>
      <w:r>
        <w:t>chooses to review is a disaster heaped upon a catastrophe of mismanagement, bad or non-</w:t>
      </w:r>
      <w:r>
        <w:tab/>
        <w:t xml:space="preserve">existent long-term planning, enormous deferred maintenance, huge cost overruns, and bloated, </w:t>
      </w:r>
      <w:r>
        <w:tab/>
        <w:t xml:space="preserve">expensive administrative staffing levels.  Why would Nevada want to further connect with such </w:t>
      </w:r>
      <w:r>
        <w:tab/>
        <w:t>abject failures?</w:t>
      </w:r>
    </w:p>
    <w:p w:rsidR="001923A2" w:rsidRDefault="001923A2">
      <w:pPr>
        <w:rPr>
          <w:rFonts w:ascii="Times New Roman" w:hAnsi="Times New Roman" w:cs="Times New Roman"/>
        </w:rPr>
      </w:pPr>
      <w:r>
        <w:rPr>
          <w:rFonts w:ascii="Times New Roman" w:hAnsi="Times New Roman" w:cs="Times New Roman"/>
        </w:rPr>
        <w:tab/>
      </w:r>
      <w:r>
        <w:t xml:space="preserve">CAISO has a large bureaucracy to support numbering some 599 FTEs and an expensive, opulent </w:t>
      </w:r>
      <w:r>
        <w:tab/>
        <w:t xml:space="preserve">headquarters building in Folsom, which it would expect Nevada ratepayers to cover with </w:t>
      </w:r>
      <w:r>
        <w:rPr>
          <w:rFonts w:ascii="Times New Roman" w:hAnsi="Times New Roman" w:cs="Times New Roman"/>
        </w:rPr>
        <w:tab/>
      </w:r>
      <w:r>
        <w:t xml:space="preserve">payments.  It reported a year-end 2017 operating loss of $6.9 million just a few days ago, which </w:t>
      </w:r>
      <w:r>
        <w:rPr>
          <w:rFonts w:ascii="Times New Roman" w:hAnsi="Times New Roman" w:cs="Times New Roman"/>
        </w:rPr>
        <w:tab/>
      </w:r>
      <w:r>
        <w:t xml:space="preserve">its spokesman dismissed as “merely an accounting outcome.”  It requires collateral from its </w:t>
      </w:r>
      <w:r>
        <w:rPr>
          <w:rFonts w:ascii="Times New Roman" w:hAnsi="Times New Roman" w:cs="Times New Roman"/>
        </w:rPr>
        <w:tab/>
      </w:r>
      <w:r>
        <w:t>California participants to support its aggregate liabilities at a ratio of 6.46 to 1.</w:t>
      </w:r>
    </w:p>
    <w:p w:rsidR="001923A2" w:rsidRDefault="001923A2">
      <w:r>
        <w:rPr>
          <w:rFonts w:ascii="Times New Roman" w:hAnsi="Times New Roman" w:cs="Times New Roman"/>
        </w:rPr>
        <w:tab/>
      </w:r>
      <w:r>
        <w:t xml:space="preserve">Who puts up Nevada’s share of the collateral if it was to participate?  No one from CAISO who </w:t>
      </w:r>
      <w:r>
        <w:rPr>
          <w:rFonts w:ascii="Times New Roman" w:hAnsi="Times New Roman" w:cs="Times New Roman"/>
        </w:rPr>
        <w:tab/>
      </w:r>
      <w:r>
        <w:t xml:space="preserve">participated in the workshops brought this point up or offered a solution or answer specific to </w:t>
      </w:r>
      <w:r>
        <w:rPr>
          <w:rFonts w:ascii="Times New Roman" w:hAnsi="Times New Roman" w:cs="Times New Roman"/>
        </w:rPr>
        <w:tab/>
      </w:r>
      <w:r>
        <w:t>Nevada.</w:t>
      </w:r>
    </w:p>
    <w:p w:rsidR="001923A2" w:rsidRDefault="001923A2">
      <w:pPr>
        <w:rPr>
          <w:rFonts w:ascii="Times New Roman" w:hAnsi="Times New Roman" w:cs="Times New Roman"/>
        </w:rPr>
      </w:pPr>
      <w:r>
        <w:tab/>
        <w:t xml:space="preserve">California needs Nevada to accept more of its increasing supply of peak renewable energy it </w:t>
      </w:r>
      <w:r>
        <w:rPr>
          <w:rFonts w:ascii="Times New Roman" w:hAnsi="Times New Roman" w:cs="Times New Roman"/>
        </w:rPr>
        <w:tab/>
      </w:r>
      <w:r>
        <w:t xml:space="preserve">cannot use without causing grid stability problems.  California would be a poor candidate for </w:t>
      </w:r>
      <w:r>
        <w:rPr>
          <w:rFonts w:ascii="Times New Roman" w:hAnsi="Times New Roman" w:cs="Times New Roman"/>
        </w:rPr>
        <w:tab/>
      </w:r>
      <w:r>
        <w:t xml:space="preserve">receiving exported renewable energy from Nevada given its current commitment to 50% </w:t>
      </w:r>
      <w:r>
        <w:rPr>
          <w:rFonts w:ascii="Times New Roman" w:hAnsi="Times New Roman" w:cs="Times New Roman"/>
        </w:rPr>
        <w:tab/>
      </w:r>
      <w:r>
        <w:t xml:space="preserve">renewable electricity, and desire to double down on their peak production problem and move </w:t>
      </w:r>
      <w:r>
        <w:rPr>
          <w:rFonts w:ascii="Times New Roman" w:hAnsi="Times New Roman" w:cs="Times New Roman"/>
        </w:rPr>
        <w:tab/>
      </w:r>
      <w:r>
        <w:t>to 100% renewable energy.</w:t>
      </w:r>
    </w:p>
    <w:p w:rsidR="001923A2" w:rsidRDefault="001923A2">
      <w:r>
        <w:rPr>
          <w:rFonts w:ascii="Times New Roman" w:hAnsi="Times New Roman" w:cs="Times New Roman"/>
        </w:rPr>
        <w:tab/>
      </w:r>
      <w:r>
        <w:t xml:space="preserve">The disagreements among CAISO’s members have nakedly surfaced as CAISO has recently </w:t>
      </w:r>
      <w:r>
        <w:rPr>
          <w:rFonts w:ascii="Times New Roman" w:hAnsi="Times New Roman" w:cs="Times New Roman"/>
        </w:rPr>
        <w:tab/>
      </w:r>
      <w:r>
        <w:t xml:space="preserve">increased its reliance on reliability-must-run (RMRs) and capacity procurement mechanism </w:t>
      </w:r>
      <w:r>
        <w:rPr>
          <w:rFonts w:ascii="Times New Roman" w:hAnsi="Times New Roman" w:cs="Times New Roman"/>
        </w:rPr>
        <w:tab/>
      </w:r>
      <w:r>
        <w:t xml:space="preserve">(CPM) programs.  This overreliance has caused a rift with owners of other generating resources, </w:t>
      </w:r>
      <w:r>
        <w:rPr>
          <w:rFonts w:ascii="Times New Roman" w:hAnsi="Times New Roman" w:cs="Times New Roman"/>
        </w:rPr>
        <w:tab/>
      </w:r>
      <w:r>
        <w:t xml:space="preserve">especially renewable energy, who are being frequently bypassed in favor of fossil fuel </w:t>
      </w:r>
      <w:r>
        <w:rPr>
          <w:rFonts w:ascii="Times New Roman" w:hAnsi="Times New Roman" w:cs="Times New Roman"/>
        </w:rPr>
        <w:tab/>
      </w:r>
      <w:r>
        <w:t xml:space="preserve">generation to attempt the stabilization of a very unstable California electric grid at times of peak </w:t>
      </w:r>
      <w:r>
        <w:rPr>
          <w:rFonts w:ascii="Times New Roman" w:hAnsi="Times New Roman" w:cs="Times New Roman"/>
        </w:rPr>
        <w:tab/>
      </w:r>
      <w:r>
        <w:t xml:space="preserve">demand or when cloud cover precipitously drops renewable energy production. </w:t>
      </w:r>
    </w:p>
    <w:p w:rsidR="001923A2" w:rsidRDefault="001923A2">
      <w:pPr>
        <w:rPr>
          <w:rFonts w:ascii="Times New Roman" w:hAnsi="Times New Roman" w:cs="Times New Roman"/>
        </w:rPr>
      </w:pPr>
      <w:r>
        <w:rPr>
          <w:rFonts w:ascii="Times New Roman" w:hAnsi="Times New Roman" w:cs="Times New Roman"/>
        </w:rPr>
        <w:tab/>
      </w:r>
      <w:r>
        <w:t xml:space="preserve">(See </w:t>
      </w:r>
      <w:hyperlink r:id="rId7" w:history="1">
        <w:r>
          <w:rPr>
            <w:rStyle w:val="Hyperlink"/>
            <w:rFonts w:ascii="Calibri" w:hAnsi="Calibri" w:cs="Calibri"/>
            <w:u w:val="none"/>
          </w:rPr>
          <w:t xml:space="preserve">http://www.caiso.com/DocumentsIssuePaperandStrawProposal-    </w:t>
        </w:r>
        <w:r>
          <w:rPr>
            <w:rStyle w:val="Hyperlink"/>
            <w:rFonts w:ascii="Calibri" w:hAnsi="Calibri" w:cs="Calibri"/>
            <w:u w:val="none"/>
          </w:rPr>
          <w:tab/>
          <w:t>ReviewReliabilityMustRunand CapacityProcurementMechanism.pdf</w:t>
        </w:r>
      </w:hyperlink>
      <w:r>
        <w:t>)</w:t>
      </w:r>
    </w:p>
    <w:p w:rsidR="001923A2" w:rsidRDefault="001923A2">
      <w:pPr>
        <w:rPr>
          <w:rFonts w:ascii="Times New Roman" w:hAnsi="Times New Roman" w:cs="Times New Roman"/>
        </w:rPr>
      </w:pPr>
      <w:r>
        <w:rPr>
          <w:rFonts w:ascii="Times New Roman" w:hAnsi="Times New Roman" w:cs="Times New Roman"/>
        </w:rPr>
        <w:tab/>
      </w:r>
      <w:r>
        <w:t xml:space="preserve">If Nevada pursues alignment with other RTOs/ISOs, the obvious candidate is Arizona, not </w:t>
      </w:r>
      <w:r>
        <w:rPr>
          <w:rFonts w:ascii="Times New Roman" w:hAnsi="Times New Roman" w:cs="Times New Roman"/>
        </w:rPr>
        <w:tab/>
      </w:r>
      <w:r>
        <w:t xml:space="preserve">California, even if more transmission capacity must be constructed.  Nevada would need more </w:t>
      </w:r>
      <w:r>
        <w:tab/>
        <w:t xml:space="preserve">transmission capacity under the ill-advised CAISO connection, too.   Existing transmission lines </w:t>
      </w:r>
      <w:r>
        <w:rPr>
          <w:rFonts w:ascii="Times New Roman" w:hAnsi="Times New Roman" w:cs="Times New Roman"/>
        </w:rPr>
        <w:tab/>
      </w:r>
      <w:r>
        <w:t xml:space="preserve">have no greater capacity to supplement Nevada’s demand should some or all of the existing </w:t>
      </w:r>
      <w:r>
        <w:rPr>
          <w:rFonts w:ascii="Times New Roman" w:hAnsi="Times New Roman" w:cs="Times New Roman"/>
        </w:rPr>
        <w:tab/>
      </w:r>
      <w:r>
        <w:t xml:space="preserve">Nevada conventional, fossil-fuel generation stations close under divestiture.  This is another new </w:t>
      </w:r>
      <w:r>
        <w:rPr>
          <w:rFonts w:ascii="Times New Roman" w:hAnsi="Times New Roman" w:cs="Times New Roman"/>
        </w:rPr>
        <w:tab/>
      </w:r>
      <w:r>
        <w:t xml:space="preserve">cost for which none of the subject-matter experts from CAISO have offered any Nevada costing </w:t>
      </w:r>
      <w:r>
        <w:rPr>
          <w:rFonts w:ascii="Times New Roman" w:hAnsi="Times New Roman" w:cs="Times New Roman"/>
        </w:rPr>
        <w:tab/>
      </w:r>
      <w:r>
        <w:t>information.</w:t>
      </w:r>
    </w:p>
    <w:p w:rsidR="001923A2" w:rsidRDefault="001923A2">
      <w:pPr>
        <w:rPr>
          <w:rFonts w:ascii="Times New Roman" w:hAnsi="Times New Roman" w:cs="Times New Roman"/>
        </w:rPr>
      </w:pPr>
    </w:p>
    <w:p w:rsidR="001923A2" w:rsidRDefault="001923A2">
      <w:r>
        <w:t xml:space="preserve">Conclusion:  All told, those adamantly advocating for this change to Nevada’s constitution failed in their mission to </w:t>
      </w:r>
      <w:r>
        <w:rPr>
          <w:u w:val="single"/>
        </w:rPr>
        <w:t>provide Nevada-specific costing</w:t>
      </w:r>
      <w:r>
        <w:t xml:space="preserve"> at each juncture of the Governor’s Committee and its sub-bodies, as well as at the PUCN workshops.  Self-described subject-matter experts who are veterans of previous implementations should have the experience and knowledge to tell Nevada about its prospective </w:t>
      </w:r>
      <w:bookmarkStart w:id="0" w:name="_GoBack"/>
      <w:bookmarkEnd w:id="0"/>
      <w:r>
        <w:t>costs.   Such information would have propelled the discussion into constructive directions on how costs would actually decline if the initiative is successful or how they could be reduced.  Nevadans had a prime opportunity to reveal and discuss competing cost information and it has now been lost.</w:t>
      </w:r>
    </w:p>
    <w:p w:rsidR="001923A2" w:rsidRDefault="001923A2"/>
    <w:p w:rsidR="001923A2" w:rsidRDefault="001923A2">
      <w:r>
        <w:tab/>
      </w:r>
      <w:r>
        <w:tab/>
      </w:r>
      <w:r>
        <w:tab/>
      </w:r>
      <w:r>
        <w:tab/>
      </w:r>
      <w:r>
        <w:tab/>
      </w:r>
      <w:r>
        <w:tab/>
      </w:r>
      <w:r>
        <w:tab/>
        <w:t>Sincerely,</w:t>
      </w:r>
    </w:p>
    <w:p w:rsidR="001923A2" w:rsidRDefault="001923A2"/>
    <w:p w:rsidR="001923A2" w:rsidRDefault="001923A2"/>
    <w:p w:rsidR="001923A2" w:rsidRDefault="001923A2">
      <w:r>
        <w:tab/>
      </w:r>
      <w:r>
        <w:tab/>
      </w:r>
      <w:r>
        <w:tab/>
      </w:r>
      <w:r>
        <w:tab/>
      </w:r>
      <w:r>
        <w:tab/>
      </w:r>
      <w:r>
        <w:tab/>
      </w:r>
      <w:r>
        <w:tab/>
        <w:t>Fred Voltz</w:t>
      </w:r>
    </w:p>
    <w:p w:rsidR="001923A2" w:rsidRDefault="001923A2"/>
    <w:p w:rsidR="001923A2" w:rsidRDefault="001923A2">
      <w:r>
        <w:t>Attachments (2)</w:t>
      </w:r>
    </w:p>
    <w:sectPr w:rsidR="001923A2" w:rsidSect="001923A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3A2" w:rsidRDefault="001923A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1923A2" w:rsidRDefault="001923A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3A2" w:rsidRDefault="001923A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1923A2" w:rsidRDefault="001923A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A2" w:rsidRDefault="001923A2">
    <w:pPr>
      <w:pStyle w:val="Header"/>
      <w:rPr>
        <w:rFonts w:ascii="Times New Roman" w:hAnsi="Times New Roman" w:cs="Times New Roman"/>
      </w:rPr>
    </w:pPr>
    <w:r>
      <w:rPr>
        <w:noProof/>
      </w:rPr>
      <w:pict>
        <v:rect id="Rectangle 3" o:spid="_x0000_s2049" style="position:absolute;margin-left:555.9pt;margin-top:0;width:40.2pt;height:171.9pt;z-index:251660288;visibility:visible;mso-position-horizontal-relative:page;mso-position-vertical:bottom;mso-position-vertical-relative:margin;v-text-anchor:middle" o:allowincell="f" filled="f" stroked="f">
          <v:textbox style="layout-flow:vertical;mso-layout-flow-alt:bottom-to-top;mso-fit-shape-to-text:t">
            <w:txbxContent>
              <w:p w:rsidR="001923A2" w:rsidRDefault="001923A2">
                <w:pPr>
                  <w:pStyle w:val="Footer"/>
                  <w:rPr>
                    <w:rFonts w:ascii="Cambria" w:hAnsi="Cambria" w:cs="Cambria"/>
                    <w:sz w:val="44"/>
                    <w:szCs w:val="44"/>
                  </w:rPr>
                </w:pPr>
                <w:r>
                  <w:rPr>
                    <w:rFonts w:ascii="Cambria" w:hAnsi="Cambria" w:cs="Cambria"/>
                  </w:rPr>
                  <w:t>Page</w:t>
                </w:r>
                <w:fldSimple w:instr=" PAGE    \* MERGEFORMAT ">
                  <w:r>
                    <w:rPr>
                      <w:rFonts w:ascii="Cambria" w:hAnsi="Cambria" w:cs="Cambria"/>
                      <w:noProof/>
                      <w:sz w:val="44"/>
                      <w:szCs w:val="44"/>
                    </w:rPr>
                    <w:t>5</w:t>
                  </w:r>
                </w:fldSimple>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449A"/>
    <w:multiLevelType w:val="hybridMultilevel"/>
    <w:tmpl w:val="E10AB688"/>
    <w:lvl w:ilvl="0" w:tplc="0E02CFAE">
      <w:start w:val="1"/>
      <w:numFmt w:val="lowerLetter"/>
      <w:lvlText w:val="%1."/>
      <w:lvlJc w:val="left"/>
      <w:pPr>
        <w:ind w:left="1800" w:hanging="360"/>
      </w:pPr>
      <w:rPr>
        <w:rFonts w:ascii="Times New Roman" w:hAnsi="Times New Roman" w:hint="default"/>
      </w:rPr>
    </w:lvl>
    <w:lvl w:ilvl="1" w:tplc="04090019">
      <w:start w:val="1"/>
      <w:numFmt w:val="lowerLetter"/>
      <w:lvlText w:val="%2."/>
      <w:lvlJc w:val="left"/>
      <w:pPr>
        <w:ind w:left="2520" w:hanging="360"/>
      </w:pPr>
      <w:rPr>
        <w:rFonts w:ascii="Times New Roman" w:hAnsi="Times New Roman"/>
      </w:rPr>
    </w:lvl>
    <w:lvl w:ilvl="2" w:tplc="0409001B">
      <w:start w:val="1"/>
      <w:numFmt w:val="lowerRoman"/>
      <w:lvlText w:val="%3."/>
      <w:lvlJc w:val="right"/>
      <w:pPr>
        <w:ind w:left="3240" w:hanging="180"/>
      </w:pPr>
      <w:rPr>
        <w:rFonts w:ascii="Times New Roman" w:hAnsi="Times New Roman"/>
      </w:rPr>
    </w:lvl>
    <w:lvl w:ilvl="3" w:tplc="0409000F">
      <w:start w:val="1"/>
      <w:numFmt w:val="decimal"/>
      <w:lvlText w:val="%4."/>
      <w:lvlJc w:val="left"/>
      <w:pPr>
        <w:ind w:left="3960" w:hanging="360"/>
      </w:pPr>
      <w:rPr>
        <w:rFonts w:ascii="Times New Roman" w:hAnsi="Times New Roman"/>
      </w:rPr>
    </w:lvl>
    <w:lvl w:ilvl="4" w:tplc="04090019">
      <w:start w:val="1"/>
      <w:numFmt w:val="lowerLetter"/>
      <w:lvlText w:val="%5."/>
      <w:lvlJc w:val="left"/>
      <w:pPr>
        <w:ind w:left="4680" w:hanging="360"/>
      </w:pPr>
      <w:rPr>
        <w:rFonts w:ascii="Times New Roman" w:hAnsi="Times New Roman"/>
      </w:rPr>
    </w:lvl>
    <w:lvl w:ilvl="5" w:tplc="0409001B">
      <w:start w:val="1"/>
      <w:numFmt w:val="lowerRoman"/>
      <w:lvlText w:val="%6."/>
      <w:lvlJc w:val="right"/>
      <w:pPr>
        <w:ind w:left="5400" w:hanging="180"/>
      </w:pPr>
      <w:rPr>
        <w:rFonts w:ascii="Times New Roman" w:hAnsi="Times New Roman"/>
      </w:rPr>
    </w:lvl>
    <w:lvl w:ilvl="6" w:tplc="0409000F">
      <w:start w:val="1"/>
      <w:numFmt w:val="decimal"/>
      <w:lvlText w:val="%7."/>
      <w:lvlJc w:val="left"/>
      <w:pPr>
        <w:ind w:left="6120" w:hanging="360"/>
      </w:pPr>
      <w:rPr>
        <w:rFonts w:ascii="Times New Roman" w:hAnsi="Times New Roman"/>
      </w:rPr>
    </w:lvl>
    <w:lvl w:ilvl="7" w:tplc="04090019">
      <w:start w:val="1"/>
      <w:numFmt w:val="lowerLetter"/>
      <w:lvlText w:val="%8."/>
      <w:lvlJc w:val="left"/>
      <w:pPr>
        <w:ind w:left="6840" w:hanging="360"/>
      </w:pPr>
      <w:rPr>
        <w:rFonts w:ascii="Times New Roman" w:hAnsi="Times New Roman"/>
      </w:rPr>
    </w:lvl>
    <w:lvl w:ilvl="8" w:tplc="0409001B">
      <w:start w:val="1"/>
      <w:numFmt w:val="lowerRoman"/>
      <w:lvlText w:val="%9."/>
      <w:lvlJc w:val="right"/>
      <w:pPr>
        <w:ind w:left="7560" w:hanging="180"/>
      </w:pPr>
      <w:rPr>
        <w:rFonts w:ascii="Times New Roman" w:hAnsi="Times New Roman"/>
      </w:rPr>
    </w:lvl>
  </w:abstractNum>
  <w:abstractNum w:abstractNumId="1">
    <w:nsid w:val="70176CBE"/>
    <w:multiLevelType w:val="hybridMultilevel"/>
    <w:tmpl w:val="A5B0C50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A2"/>
    <w:rsid w:val="001923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styleId="FollowedHyperlink">
    <w:name w:val="FollowedHyperlink"/>
    <w:basedOn w:val="DefaultParagraphFont"/>
    <w:uiPriority w:val="9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iso.com/DocumentsIssuePaperandStrawProposal-%20%20%20%20%09ReviewReliabilityMustRunand%20CapacityProcurementMechanis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1740</Words>
  <Characters>9922</Characters>
  <Application>Microsoft Office Outlook</Application>
  <DocSecurity>0</DocSecurity>
  <Lines>0</Lines>
  <Paragraphs>0</Paragraphs>
  <ScaleCrop>false</ScaleCrop>
  <Company>NTEF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NTEF</cp:lastModifiedBy>
  <cp:revision>2</cp:revision>
  <cp:lastPrinted>2018-02-17T00:18:00Z</cp:lastPrinted>
  <dcterms:created xsi:type="dcterms:W3CDTF">2018-02-19T12:24:00Z</dcterms:created>
  <dcterms:modified xsi:type="dcterms:W3CDTF">2018-02-19T12:24:00Z</dcterms:modified>
</cp:coreProperties>
</file>